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56" w:rsidRDefault="00B921E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r>
        <w:rPr>
          <w:b/>
          <w:bCs/>
        </w:rPr>
        <w:t xml:space="preserve">OUTCOMES FOLLOWING PCI IN PATIENTS WITH PREVIOUS CABG: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 MULTI CENTRE EXPERIENCE </w:t>
      </w:r>
    </w:p>
    <w:bookmarkEnd w:id="0"/>
    <w:p w:rsidR="00B90D56" w:rsidRDefault="00B921ED">
      <w:pPr>
        <w:widowControl w:val="0"/>
        <w:autoSpaceDE w:val="0"/>
        <w:autoSpaceDN w:val="0"/>
        <w:adjustRightInd w:val="0"/>
      </w:pPr>
      <w:r w:rsidRPr="00B90D56">
        <w:rPr>
          <w:b/>
          <w:bCs/>
          <w:u w:val="single"/>
        </w:rPr>
        <w:t>S.S</w:t>
      </w:r>
      <w:r w:rsidR="00B90D56" w:rsidRPr="00B90D56">
        <w:rPr>
          <w:b/>
          <w:bCs/>
          <w:u w:val="single"/>
        </w:rPr>
        <w:t xml:space="preserve">. </w:t>
      </w:r>
      <w:proofErr w:type="spellStart"/>
      <w:r w:rsidR="00B90D56" w:rsidRPr="00B90D56">
        <w:rPr>
          <w:b/>
          <w:bCs/>
          <w:u w:val="single"/>
        </w:rPr>
        <w:t>Bundhoo</w:t>
      </w:r>
      <w:proofErr w:type="spellEnd"/>
      <w:r>
        <w:t>, M</w:t>
      </w:r>
      <w:r w:rsidR="00B90D56">
        <w:t>.</w:t>
      </w:r>
      <w:r>
        <w:t xml:space="preserve"> </w:t>
      </w:r>
      <w:proofErr w:type="spellStart"/>
      <w:r>
        <w:t>Kalla</w:t>
      </w:r>
      <w:proofErr w:type="spellEnd"/>
      <w:r>
        <w:t>, R</w:t>
      </w:r>
      <w:r w:rsidR="00B90D56">
        <w:t>.</w:t>
      </w:r>
      <w:r>
        <w:t xml:space="preserve"> </w:t>
      </w:r>
      <w:proofErr w:type="spellStart"/>
      <w:r>
        <w:t>Anantharaman</w:t>
      </w:r>
      <w:proofErr w:type="spellEnd"/>
      <w:r>
        <w:t>, K</w:t>
      </w:r>
      <w:r w:rsidR="00B90D56">
        <w:t>.</w:t>
      </w:r>
      <w:r>
        <w:t xml:space="preserve"> Morris, A</w:t>
      </w:r>
      <w:r w:rsidR="00B90D56">
        <w:t>.</w:t>
      </w:r>
      <w:r>
        <w:t xml:space="preserve"> Chase, D</w:t>
      </w:r>
      <w:r w:rsidR="00B90D56">
        <w:t>.</w:t>
      </w:r>
      <w:r>
        <w:t xml:space="preserve"> Smith,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R.A</w:t>
      </w:r>
      <w:r w:rsidR="00B90D56">
        <w:t xml:space="preserve">. </w:t>
      </w:r>
      <w:r>
        <w:t>Anderson, T.D</w:t>
      </w:r>
      <w:r w:rsidR="00B90D56">
        <w:t>.</w:t>
      </w:r>
      <w:r>
        <w:t xml:space="preserve"> Kinnaird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0D56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Patients with recurrent angina in the setting of a remote history of coronary artery bypass grafting (CABG) represent an increasing problem. Treating these patients is technically challenging with limited data available to guide operators as to the optimal </w:t>
      </w:r>
      <w:proofErr w:type="spellStart"/>
      <w:r>
        <w:t>revascularisation</w:t>
      </w:r>
      <w:proofErr w:type="spellEnd"/>
      <w:r>
        <w:t xml:space="preserve"> strategy. </w:t>
      </w:r>
    </w:p>
    <w:p w:rsidR="00B90D5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retrospectively </w:t>
      </w:r>
      <w:proofErr w:type="spellStart"/>
      <w:r>
        <w:t>analysed</w:t>
      </w:r>
      <w:proofErr w:type="spellEnd"/>
      <w:r>
        <w:t xml:space="preserve"> clinical data on 161 patients with prior CABG who underwent PCI at our two national tertiary </w:t>
      </w:r>
      <w:proofErr w:type="spellStart"/>
      <w:r>
        <w:t>centres</w:t>
      </w:r>
      <w:proofErr w:type="spellEnd"/>
      <w:r>
        <w:t xml:space="preserve"> in South Wales between September 2005 and April 2008. </w:t>
      </w:r>
    </w:p>
    <w:p w:rsidR="00B90D5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161 patients (132 male, 68 ± 8years) underwent PCI at an average 126 ± 65 months after index CABG. Clinical presentation of recurrent </w:t>
      </w:r>
      <w:proofErr w:type="spellStart"/>
      <w:r>
        <w:t>ischaemia</w:t>
      </w:r>
      <w:proofErr w:type="spellEnd"/>
      <w:r>
        <w:t xml:space="preserve"> was stable in 59.7% and as an acute coronary syndrome in 40.3% of patients. Mean follow-up after PCI was 13.5 ± 4.8mths. 62.7% of patients underwent native vessel PCI while 32.9% had a graft only PCI and 4.4% having a combination of both. Drug eluting stents were used in 84.9% of cases. The mean CCS angina class decreased from 2.87 to 0.67 (p&lt;0.0001) in the follow up group. During follow-up 12.4% of the cohort underwent repeat PCI although 30% of these required PCI for a de-novo lesion. The rate of target vessel </w:t>
      </w:r>
      <w:proofErr w:type="spellStart"/>
      <w:r>
        <w:t>revascularisation</w:t>
      </w:r>
      <w:proofErr w:type="spellEnd"/>
      <w:r>
        <w:t xml:space="preserve"> (TVR) was significantly higher in patients undergoing graft PCI than native vessel PCI (15% vs. 4.9%, p=0.031).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In patients with previous CABG presenting with recurrence of angina, PCI significantly improved </w:t>
      </w:r>
      <w:proofErr w:type="spellStart"/>
      <w:r>
        <w:t>anginal</w:t>
      </w:r>
      <w:proofErr w:type="spellEnd"/>
      <w:r>
        <w:t xml:space="preserve"> symptoms with low overall rates of TVR. The rate of TVR was however significantly higher in those patients undergoing graft PCI than those patients undergoing native vessel PCI.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B180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E5" w:rsidRDefault="00361FE5" w:rsidP="00361FE5">
      <w:r>
        <w:separator/>
      </w:r>
    </w:p>
  </w:endnote>
  <w:endnote w:type="continuationSeparator" w:id="0">
    <w:p w:rsidR="00361FE5" w:rsidRDefault="00361FE5" w:rsidP="0036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E5" w:rsidRDefault="00361FE5" w:rsidP="00361FE5">
      <w:r>
        <w:separator/>
      </w:r>
    </w:p>
  </w:footnote>
  <w:footnote w:type="continuationSeparator" w:id="0">
    <w:p w:rsidR="00361FE5" w:rsidRDefault="00361FE5" w:rsidP="0036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0B" w:rsidRDefault="005B180B" w:rsidP="005B180B">
    <w:pPr>
      <w:pStyle w:val="Header"/>
    </w:pPr>
    <w:r>
      <w:t>1199, oral or poster, cat: 50</w:t>
    </w:r>
  </w:p>
  <w:p w:rsidR="00361FE5" w:rsidRDefault="00361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61FE5"/>
    <w:rsid w:val="00447B2F"/>
    <w:rsid w:val="005B180B"/>
    <w:rsid w:val="00B90D56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A0726CB9</Template>
  <TotalTime>14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2012-03-07T14:24:00Z</cp:lastPrinted>
  <dcterms:created xsi:type="dcterms:W3CDTF">2012-03-07T14:16:00Z</dcterms:created>
  <dcterms:modified xsi:type="dcterms:W3CDTF">2012-03-07T14:31:00Z</dcterms:modified>
</cp:coreProperties>
</file>